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C8" w:rsidRPr="002E6F95" w:rsidRDefault="006445C8" w:rsidP="006445C8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АДМИНИСТРАЦИЯ СЕРДЕЖСКОГО СЕЛЬСКОГО ПОСЕЛЕНИЯ</w:t>
      </w:r>
      <w:r>
        <w:rPr>
          <w:b/>
          <w:bCs/>
          <w:sz w:val="24"/>
          <w:szCs w:val="24"/>
        </w:rPr>
        <w:t xml:space="preserve"> </w:t>
      </w:r>
    </w:p>
    <w:p w:rsidR="006445C8" w:rsidRPr="002E6F95" w:rsidRDefault="006445C8" w:rsidP="006445C8">
      <w:pPr>
        <w:pStyle w:val="1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ЯРАНСКОГО РАЙОНА КИРОВСКОЙ ОБЛАСТИ</w:t>
      </w:r>
    </w:p>
    <w:p w:rsidR="006445C8" w:rsidRPr="002E6F95" w:rsidRDefault="006445C8" w:rsidP="006445C8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bookmarkStart w:id="1" w:name="bookmark1"/>
      <w:r w:rsidRPr="002E6F95">
        <w:rPr>
          <w:sz w:val="24"/>
          <w:szCs w:val="24"/>
        </w:rPr>
        <w:t>ПОСТАНОВЛЕНИЕ</w:t>
      </w:r>
      <w:bookmarkEnd w:id="0"/>
      <w:bookmarkEnd w:id="1"/>
    </w:p>
    <w:p w:rsidR="006445C8" w:rsidRDefault="006445C8" w:rsidP="006445C8">
      <w:pPr>
        <w:pStyle w:val="11"/>
        <w:shd w:val="clear" w:color="auto" w:fill="auto"/>
        <w:spacing w:after="4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6445C8" w:rsidRDefault="006445C8" w:rsidP="006445C8">
      <w:pPr>
        <w:pStyle w:val="11"/>
        <w:shd w:val="clear" w:color="auto" w:fill="auto"/>
        <w:spacing w:after="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E01924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E01924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</w:t>
      </w:r>
      <w:r w:rsidRPr="00AF0776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100</w:t>
      </w:r>
    </w:p>
    <w:p w:rsidR="006445C8" w:rsidRPr="002E6F95" w:rsidRDefault="006445C8" w:rsidP="006445C8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2E6F95">
        <w:rPr>
          <w:sz w:val="24"/>
          <w:szCs w:val="24"/>
        </w:rPr>
        <w:t>с. Сердеж</w:t>
      </w:r>
    </w:p>
    <w:p w:rsidR="006445C8" w:rsidRPr="002E6F95" w:rsidRDefault="006445C8" w:rsidP="006445C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Об утверждении</w:t>
      </w:r>
    </w:p>
    <w:p w:rsidR="006445C8" w:rsidRPr="00802DFB" w:rsidRDefault="006445C8" w:rsidP="006445C8">
      <w:pPr>
        <w:pStyle w:val="11"/>
        <w:shd w:val="clear" w:color="auto" w:fill="auto"/>
        <w:spacing w:after="220"/>
        <w:ind w:firstLine="0"/>
        <w:jc w:val="center"/>
        <w:rPr>
          <w:b/>
          <w:bCs/>
          <w:sz w:val="24"/>
          <w:szCs w:val="24"/>
        </w:rPr>
      </w:pPr>
      <w:r w:rsidRPr="002E6F95">
        <w:rPr>
          <w:b/>
          <w:bCs/>
          <w:sz w:val="24"/>
          <w:szCs w:val="24"/>
        </w:rPr>
        <w:t>Программы профилактики рисков причинения вреда (ущерба)</w:t>
      </w:r>
      <w:r w:rsidRPr="002E6F95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2E6F95">
        <w:rPr>
          <w:b/>
          <w:bCs/>
          <w:sz w:val="24"/>
          <w:szCs w:val="24"/>
        </w:rPr>
        <w:br/>
        <w:t xml:space="preserve">контролю на территории </w:t>
      </w:r>
      <w:r>
        <w:rPr>
          <w:b/>
          <w:bCs/>
          <w:sz w:val="24"/>
          <w:szCs w:val="24"/>
        </w:rPr>
        <w:t>Сердеж</w:t>
      </w:r>
      <w:r w:rsidRPr="002E6F95">
        <w:rPr>
          <w:b/>
          <w:bCs/>
          <w:sz w:val="24"/>
          <w:szCs w:val="24"/>
        </w:rPr>
        <w:t>ского сельского поселения Яранского</w:t>
      </w:r>
      <w:r w:rsidRPr="002E6F95">
        <w:rPr>
          <w:b/>
          <w:bCs/>
          <w:sz w:val="24"/>
          <w:szCs w:val="24"/>
        </w:rPr>
        <w:br/>
        <w:t>района Кировской области на 202</w:t>
      </w:r>
      <w:r w:rsidR="00021812">
        <w:rPr>
          <w:b/>
          <w:bCs/>
          <w:sz w:val="24"/>
          <w:szCs w:val="24"/>
        </w:rPr>
        <w:t>4</w:t>
      </w:r>
      <w:r w:rsidRPr="002E6F95">
        <w:rPr>
          <w:b/>
          <w:bCs/>
          <w:sz w:val="24"/>
          <w:szCs w:val="24"/>
        </w:rPr>
        <w:t xml:space="preserve"> год</w:t>
      </w:r>
    </w:p>
    <w:p w:rsidR="006445C8" w:rsidRPr="002E6F95" w:rsidRDefault="006445C8" w:rsidP="006445C8">
      <w:pPr>
        <w:pStyle w:val="11"/>
        <w:shd w:val="clear" w:color="auto" w:fill="auto"/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2E6F95">
        <w:rPr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,</w:t>
      </w:r>
      <w:r w:rsidRPr="002E6F95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Сердеж</w:t>
      </w:r>
      <w:r w:rsidRPr="002E6F95">
        <w:rPr>
          <w:rFonts w:hint="eastAsia"/>
          <w:sz w:val="24"/>
          <w:szCs w:val="24"/>
        </w:rPr>
        <w:t xml:space="preserve">ского сельского поселения </w:t>
      </w:r>
      <w:r w:rsidRPr="002E6F95">
        <w:rPr>
          <w:sz w:val="24"/>
          <w:szCs w:val="24"/>
        </w:rPr>
        <w:t>ПОСТАНОВЛЯЕТ:</w:t>
      </w:r>
      <w:proofErr w:type="gramEnd"/>
    </w:p>
    <w:p w:rsidR="006445C8" w:rsidRPr="002E6F95" w:rsidRDefault="006445C8" w:rsidP="006445C8">
      <w:pPr>
        <w:pStyle w:val="11"/>
        <w:numPr>
          <w:ilvl w:val="0"/>
          <w:numId w:val="1"/>
        </w:numPr>
        <w:shd w:val="clear" w:color="auto" w:fill="auto"/>
        <w:tabs>
          <w:tab w:val="left" w:pos="1089"/>
        </w:tabs>
        <w:spacing w:line="360" w:lineRule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 Яранского района Кировской области на 202</w:t>
      </w:r>
      <w:r w:rsidR="00021812">
        <w:rPr>
          <w:sz w:val="24"/>
          <w:szCs w:val="24"/>
        </w:rPr>
        <w:t>4</w:t>
      </w:r>
      <w:r w:rsidRPr="002E6F95">
        <w:rPr>
          <w:sz w:val="24"/>
          <w:szCs w:val="24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6445C8" w:rsidRPr="002E6F95" w:rsidRDefault="006445C8" w:rsidP="006445C8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360" w:lineRule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Должностным лицам администрации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6445C8" w:rsidRPr="002E6F95" w:rsidRDefault="006445C8" w:rsidP="006445C8">
      <w:pPr>
        <w:pStyle w:val="11"/>
        <w:numPr>
          <w:ilvl w:val="0"/>
          <w:numId w:val="1"/>
        </w:numPr>
        <w:shd w:val="clear" w:color="auto" w:fill="auto"/>
        <w:tabs>
          <w:tab w:val="left" w:pos="1104"/>
        </w:tabs>
        <w:spacing w:line="360" w:lineRule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Настоящее постановление вступает в силу с 1 января 202</w:t>
      </w:r>
      <w:r w:rsidR="00021812">
        <w:rPr>
          <w:sz w:val="24"/>
          <w:szCs w:val="24"/>
        </w:rPr>
        <w:t>4</w:t>
      </w:r>
      <w:r w:rsidRPr="002E6F95">
        <w:rPr>
          <w:sz w:val="24"/>
          <w:szCs w:val="24"/>
        </w:rPr>
        <w:t xml:space="preserve"> года.</w:t>
      </w:r>
    </w:p>
    <w:p w:rsidR="006445C8" w:rsidRPr="002E6F95" w:rsidRDefault="006445C8" w:rsidP="006445C8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360" w:lineRule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Опубликовать настоящее постановление в Информационном бюллетене органов местного самоуправления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sz w:val="24"/>
          <w:szCs w:val="24"/>
        </w:rPr>
        <w:t>.</w:t>
      </w:r>
    </w:p>
    <w:p w:rsidR="006445C8" w:rsidRDefault="006445C8" w:rsidP="006445C8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2E6F95">
        <w:rPr>
          <w:sz w:val="24"/>
          <w:szCs w:val="24"/>
        </w:rPr>
        <w:t>Контроль за</w:t>
      </w:r>
      <w:proofErr w:type="gramEnd"/>
      <w:r w:rsidRPr="002E6F9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445C8" w:rsidRPr="00D73CEF" w:rsidRDefault="006445C8" w:rsidP="006445C8">
      <w:pPr>
        <w:pStyle w:val="11"/>
        <w:shd w:val="clear" w:color="auto" w:fill="auto"/>
        <w:tabs>
          <w:tab w:val="left" w:pos="1087"/>
        </w:tabs>
        <w:spacing w:line="360" w:lineRule="auto"/>
        <w:ind w:left="720" w:firstLine="0"/>
        <w:jc w:val="both"/>
        <w:rPr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Глава администрации</w:t>
      </w:r>
    </w:p>
    <w:p w:rsidR="006445C8" w:rsidRDefault="006445C8" w:rsidP="006445C8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                                                    С.А. Мертвищев</w:t>
      </w:r>
    </w:p>
    <w:p w:rsidR="006445C8" w:rsidRDefault="006445C8" w:rsidP="006445C8">
      <w:pPr>
        <w:pStyle w:val="1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0B741B" w:rsidRDefault="000B741B" w:rsidP="006445C8">
      <w:pPr>
        <w:pStyle w:val="11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</w:p>
    <w:p w:rsidR="006445C8" w:rsidRDefault="006445C8" w:rsidP="006445C8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2E6F95">
        <w:rPr>
          <w:sz w:val="24"/>
          <w:szCs w:val="24"/>
        </w:rPr>
        <w:lastRenderedPageBreak/>
        <w:t xml:space="preserve">УТВЕРЖДЕНА </w:t>
      </w:r>
    </w:p>
    <w:p w:rsidR="006445C8" w:rsidRDefault="006445C8" w:rsidP="006445C8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Сердежского сельского поселения от «1</w:t>
      </w:r>
      <w:r w:rsidR="00021812">
        <w:rPr>
          <w:sz w:val="24"/>
          <w:szCs w:val="24"/>
        </w:rPr>
        <w:t>8</w:t>
      </w:r>
      <w:r w:rsidRPr="002E6F95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2E6F95">
        <w:rPr>
          <w:sz w:val="24"/>
          <w:szCs w:val="24"/>
        </w:rPr>
        <w:t xml:space="preserve"> 202</w:t>
      </w:r>
      <w:r w:rsidR="0002181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2E6F95">
        <w:rPr>
          <w:sz w:val="24"/>
          <w:szCs w:val="24"/>
        </w:rPr>
        <w:t>г. №</w:t>
      </w:r>
      <w:r>
        <w:rPr>
          <w:sz w:val="24"/>
          <w:szCs w:val="24"/>
        </w:rPr>
        <w:t xml:space="preserve"> 100</w:t>
      </w:r>
    </w:p>
    <w:p w:rsidR="006445C8" w:rsidRPr="002E6F95" w:rsidRDefault="006445C8" w:rsidP="006445C8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spacing w:after="180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2E6F95">
        <w:rPr>
          <w:b/>
          <w:bCs/>
          <w:sz w:val="24"/>
          <w:szCs w:val="24"/>
        </w:rPr>
        <w:br/>
        <w:t>охраняемым законом ценностям по муниципальному жилищному</w:t>
      </w:r>
      <w:r w:rsidRPr="002E6F95">
        <w:rPr>
          <w:b/>
          <w:bCs/>
          <w:sz w:val="24"/>
          <w:szCs w:val="24"/>
        </w:rPr>
        <w:br/>
        <w:t xml:space="preserve">контролю на территории </w:t>
      </w:r>
      <w:r>
        <w:rPr>
          <w:b/>
          <w:bCs/>
          <w:sz w:val="24"/>
          <w:szCs w:val="24"/>
        </w:rPr>
        <w:t>Сердеж</w:t>
      </w:r>
      <w:r w:rsidRPr="002E6F95">
        <w:rPr>
          <w:b/>
          <w:bCs/>
          <w:sz w:val="24"/>
          <w:szCs w:val="24"/>
        </w:rPr>
        <w:t>ского сельского поселения Яранского</w:t>
      </w:r>
      <w:r w:rsidRPr="002E6F95">
        <w:rPr>
          <w:b/>
          <w:bCs/>
          <w:sz w:val="24"/>
          <w:szCs w:val="24"/>
        </w:rPr>
        <w:br/>
        <w:t>района Кировской области</w:t>
      </w:r>
    </w:p>
    <w:p w:rsidR="006445C8" w:rsidRDefault="006445C8" w:rsidP="006445C8">
      <w:pPr>
        <w:pStyle w:val="11"/>
        <w:shd w:val="clear" w:color="auto" w:fill="auto"/>
        <w:ind w:firstLine="20"/>
        <w:jc w:val="both"/>
        <w:rPr>
          <w:b/>
          <w:bCs/>
          <w:sz w:val="24"/>
          <w:szCs w:val="24"/>
        </w:rPr>
      </w:pPr>
    </w:p>
    <w:p w:rsidR="006445C8" w:rsidRDefault="006445C8" w:rsidP="000B741B">
      <w:pPr>
        <w:pStyle w:val="11"/>
        <w:shd w:val="clear" w:color="auto" w:fill="auto"/>
        <w:ind w:firstLine="20"/>
        <w:jc w:val="both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 xml:space="preserve">Раздел 1. Анализ текущего состояния осуществления муниципального жилищного контроля на территории </w:t>
      </w:r>
      <w:r>
        <w:rPr>
          <w:b/>
          <w:bCs/>
          <w:sz w:val="24"/>
          <w:szCs w:val="24"/>
        </w:rPr>
        <w:t>Сердеж</w:t>
      </w:r>
      <w:r w:rsidRPr="002E6F95">
        <w:rPr>
          <w:b/>
          <w:bCs/>
          <w:sz w:val="24"/>
          <w:szCs w:val="24"/>
        </w:rPr>
        <w:t>ского сельского поселения</w:t>
      </w:r>
    </w:p>
    <w:p w:rsidR="006445C8" w:rsidRPr="002E6F95" w:rsidRDefault="006445C8" w:rsidP="006445C8">
      <w:pPr>
        <w:pStyle w:val="1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proofErr w:type="gramStart"/>
      <w:r w:rsidRPr="002E6F95">
        <w:rPr>
          <w:sz w:val="24"/>
          <w:szCs w:val="24"/>
        </w:rPr>
        <w:t xml:space="preserve">Муниципальный жилищный контроль на территории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</w:t>
      </w:r>
      <w:proofErr w:type="gramEnd"/>
      <w:r w:rsidRPr="002E6F95">
        <w:rPr>
          <w:sz w:val="24"/>
          <w:szCs w:val="24"/>
        </w:rPr>
        <w:t xml:space="preserve">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 xml:space="preserve">ского сельского поселения, Решением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ской сельской Думы от 2</w:t>
      </w:r>
      <w:r>
        <w:rPr>
          <w:sz w:val="24"/>
          <w:szCs w:val="24"/>
        </w:rPr>
        <w:t>8.10.2021 № 202</w:t>
      </w:r>
      <w:r w:rsidRPr="002E6F95">
        <w:rPr>
          <w:sz w:val="24"/>
          <w:szCs w:val="24"/>
        </w:rPr>
        <w:t xml:space="preserve"> «Об утверждении Положения о муниципальном жилищном контроле на территории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 Яранского района Кировской области».</w:t>
      </w:r>
    </w:p>
    <w:p w:rsidR="006445C8" w:rsidRPr="002E6F95" w:rsidRDefault="006445C8" w:rsidP="006445C8">
      <w:pPr>
        <w:pStyle w:val="1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Муниципальный жилищный контроль осуществляет администрация </w:t>
      </w:r>
      <w:r>
        <w:rPr>
          <w:sz w:val="24"/>
          <w:szCs w:val="24"/>
        </w:rPr>
        <w:t>Сердеж</w:t>
      </w:r>
      <w:r w:rsidRPr="002E6F95">
        <w:rPr>
          <w:sz w:val="24"/>
          <w:szCs w:val="24"/>
        </w:rPr>
        <w:t>ского сельского поселения (далее - орган муниципального контроля).</w:t>
      </w:r>
    </w:p>
    <w:p w:rsidR="006445C8" w:rsidRPr="002E6F95" w:rsidRDefault="006445C8" w:rsidP="006445C8">
      <w:pPr>
        <w:pStyle w:val="1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proofErr w:type="gramStart"/>
      <w:r w:rsidRPr="002E6F95">
        <w:rPr>
          <w:sz w:val="24"/>
          <w:szCs w:val="24"/>
        </w:rP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  <w:proofErr w:type="gramEnd"/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proofErr w:type="gramStart"/>
      <w:r w:rsidRPr="002E6F95">
        <w:rPr>
          <w:sz w:val="24"/>
          <w:szCs w:val="24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к формированию фондов капитального ремонта;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правил содержания общего имущества в многоквартирном доме и правил </w:t>
      </w:r>
      <w:r w:rsidRPr="002E6F95">
        <w:rPr>
          <w:sz w:val="24"/>
          <w:szCs w:val="24"/>
        </w:rPr>
        <w:lastRenderedPageBreak/>
        <w:t>изменения размера платы за содержание жилого помещения;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 xml:space="preserve">требований к порядку размещения </w:t>
      </w:r>
      <w:proofErr w:type="spellStart"/>
      <w:r w:rsidRPr="002E6F95">
        <w:rPr>
          <w:sz w:val="24"/>
          <w:szCs w:val="24"/>
        </w:rPr>
        <w:t>ресурсоснабжающими</w:t>
      </w:r>
      <w:proofErr w:type="spellEnd"/>
      <w:r w:rsidRPr="002E6F95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к обеспечению доступности для инвалидов помещений в многоквартирных домах;</w:t>
      </w:r>
    </w:p>
    <w:p w:rsidR="006445C8" w:rsidRPr="002E6F95" w:rsidRDefault="006445C8" w:rsidP="006445C8">
      <w:pPr>
        <w:pStyle w:val="1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требований к предоставлению жилых помещений в наемных домах социального использования.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Осуществление планового контроля не предусмотрено.</w:t>
      </w:r>
    </w:p>
    <w:p w:rsidR="006445C8" w:rsidRPr="002E6F95" w:rsidRDefault="006445C8" w:rsidP="006445C8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Ранее, в 2020</w:t>
      </w:r>
      <w:r w:rsidRPr="002E6F95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2E6F95">
        <w:rPr>
          <w:sz w:val="24"/>
          <w:szCs w:val="24"/>
        </w:rPr>
        <w:t xml:space="preserve"> г. г. контроль в данной сфере осуществлялся в соответствии с положениями Федерального закона от 26 декабря 2008 года №</w:t>
      </w:r>
      <w:r>
        <w:rPr>
          <w:sz w:val="24"/>
          <w:szCs w:val="24"/>
        </w:rPr>
        <w:t xml:space="preserve"> </w:t>
      </w:r>
      <w:r w:rsidRPr="002E6F95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4"/>
          <w:szCs w:val="24"/>
        </w:rPr>
        <w:t>дуальных предпринимателей на 2020</w:t>
      </w:r>
      <w:r w:rsidRPr="002E6F95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2E6F95">
        <w:rPr>
          <w:sz w:val="24"/>
          <w:szCs w:val="24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</w:t>
      </w:r>
      <w:proofErr w:type="gramStart"/>
      <w:r w:rsidRPr="002E6F95">
        <w:rPr>
          <w:sz w:val="24"/>
          <w:szCs w:val="24"/>
        </w:rPr>
        <w:t>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 w:rsidRPr="002E6F95">
        <w:rPr>
          <w:sz w:val="24"/>
          <w:szCs w:val="24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</w:t>
      </w:r>
      <w:r>
        <w:rPr>
          <w:sz w:val="24"/>
          <w:szCs w:val="24"/>
        </w:rPr>
        <w:t>1</w:t>
      </w:r>
      <w:r w:rsidRPr="002E6F95">
        <w:rPr>
          <w:sz w:val="24"/>
          <w:szCs w:val="24"/>
        </w:rPr>
        <w:softHyphen/>
      </w:r>
      <w:r>
        <w:rPr>
          <w:sz w:val="24"/>
          <w:szCs w:val="24"/>
        </w:rPr>
        <w:t>,</w:t>
      </w:r>
      <w:r w:rsidRPr="002E6F95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2E6F95">
        <w:rPr>
          <w:sz w:val="24"/>
          <w:szCs w:val="24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lastRenderedPageBreak/>
        <w:t xml:space="preserve">Основными причинами, факторами и </w:t>
      </w:r>
      <w:proofErr w:type="gramStart"/>
      <w:r w:rsidRPr="002E6F95">
        <w:rPr>
          <w:sz w:val="24"/>
          <w:szCs w:val="24"/>
        </w:rPr>
        <w:t>условиями, способствующими нарушению требований в контролируемой сфере подконтрольными субъектами являются</w:t>
      </w:r>
      <w:proofErr w:type="gramEnd"/>
      <w:r w:rsidRPr="002E6F95">
        <w:rPr>
          <w:sz w:val="24"/>
          <w:szCs w:val="24"/>
        </w:rPr>
        <w:t>: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не понимание необходимости исполнения требований подконтрольными субъектами;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4"/>
          <w:szCs w:val="24"/>
        </w:rPr>
        <w:t xml:space="preserve"> </w:t>
      </w:r>
      <w:r w:rsidRPr="002E6F95">
        <w:rPr>
          <w:sz w:val="24"/>
          <w:szCs w:val="24"/>
        </w:rPr>
        <w:softHyphen/>
        <w:t>телекоммуникационных технологий.</w:t>
      </w:r>
    </w:p>
    <w:p w:rsidR="006445C8" w:rsidRDefault="006445C8" w:rsidP="006445C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6445C8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Настоящая Программа разработана на 202</w:t>
      </w:r>
      <w:r w:rsidR="00021812">
        <w:rPr>
          <w:sz w:val="24"/>
          <w:szCs w:val="24"/>
        </w:rPr>
        <w:t>4</w:t>
      </w:r>
      <w:r w:rsidRPr="002E6F95">
        <w:rPr>
          <w:sz w:val="24"/>
          <w:szCs w:val="24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Цели Программы:</w:t>
      </w:r>
    </w:p>
    <w:p w:rsidR="006445C8" w:rsidRPr="002E6F95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45C8" w:rsidRPr="002E6F95" w:rsidRDefault="006445C8" w:rsidP="006445C8">
      <w:pPr>
        <w:pStyle w:val="11"/>
        <w:shd w:val="clear" w:color="auto" w:fill="auto"/>
        <w:ind w:firstLine="799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создание условий для доведения обязательных требований до контролируемых лиц, по</w:t>
      </w:r>
      <w:r>
        <w:rPr>
          <w:sz w:val="24"/>
          <w:szCs w:val="24"/>
        </w:rPr>
        <w:t>в</w:t>
      </w:r>
      <w:r w:rsidRPr="002E6F95">
        <w:rPr>
          <w:sz w:val="24"/>
          <w:szCs w:val="24"/>
        </w:rPr>
        <w:t>ышение информированности о способах их соблюдения.</w:t>
      </w:r>
    </w:p>
    <w:p w:rsidR="006445C8" w:rsidRPr="002E6F95" w:rsidRDefault="006445C8" w:rsidP="006445C8">
      <w:pPr>
        <w:pStyle w:val="11"/>
        <w:shd w:val="clear" w:color="auto" w:fill="auto"/>
        <w:ind w:firstLine="799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Задачи Программы:</w:t>
      </w:r>
    </w:p>
    <w:p w:rsidR="006445C8" w:rsidRPr="002E6F95" w:rsidRDefault="006445C8" w:rsidP="006445C8">
      <w:pPr>
        <w:pStyle w:val="11"/>
        <w:shd w:val="clear" w:color="auto" w:fill="auto"/>
        <w:ind w:firstLine="799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6445C8" w:rsidRDefault="006445C8" w:rsidP="006445C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2E6F95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2E6F95">
        <w:rPr>
          <w:b/>
          <w:bCs/>
          <w:sz w:val="24"/>
          <w:szCs w:val="24"/>
        </w:rPr>
        <w:br/>
        <w:t>(периодичность) их проведения</w:t>
      </w:r>
    </w:p>
    <w:p w:rsidR="006445C8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</w:p>
    <w:p w:rsidR="006445C8" w:rsidRPr="002E6F95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445C8" w:rsidRPr="002E6F95" w:rsidRDefault="006445C8" w:rsidP="006445C8">
      <w:pPr>
        <w:pStyle w:val="1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информирование;</w:t>
      </w:r>
    </w:p>
    <w:p w:rsidR="006445C8" w:rsidRPr="002E6F95" w:rsidRDefault="006445C8" w:rsidP="006445C8">
      <w:pPr>
        <w:pStyle w:val="1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обобщение правоприменительной практики;</w:t>
      </w:r>
    </w:p>
    <w:p w:rsidR="006445C8" w:rsidRPr="002E6F95" w:rsidRDefault="006445C8" w:rsidP="006445C8">
      <w:pPr>
        <w:pStyle w:val="1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объявление предостережения;</w:t>
      </w:r>
    </w:p>
    <w:p w:rsidR="006445C8" w:rsidRPr="002E6F95" w:rsidRDefault="006445C8" w:rsidP="006445C8">
      <w:pPr>
        <w:pStyle w:val="1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4"/>
          <w:szCs w:val="24"/>
        </w:rPr>
      </w:pPr>
      <w:r w:rsidRPr="002E6F95">
        <w:rPr>
          <w:sz w:val="24"/>
          <w:szCs w:val="24"/>
        </w:rPr>
        <w:t>консультирование;</w:t>
      </w: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5) </w:t>
      </w:r>
      <w:r w:rsidRPr="002E6F95">
        <w:rPr>
          <w:sz w:val="24"/>
          <w:szCs w:val="24"/>
        </w:rPr>
        <w:t>профилактический визит.</w:t>
      </w: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</w:p>
    <w:p w:rsidR="006445C8" w:rsidRDefault="006445C8" w:rsidP="006445C8">
      <w:pPr>
        <w:pStyle w:val="1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4"/>
          <w:szCs w:val="24"/>
        </w:rPr>
      </w:pP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5"/>
        <w:gridCol w:w="3969"/>
        <w:gridCol w:w="2693"/>
        <w:gridCol w:w="2693"/>
      </w:tblGrid>
      <w:tr w:rsidR="006445C8" w:rsidTr="00A967F9">
        <w:trPr>
          <w:trHeight w:hRule="exact" w:val="56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445C8" w:rsidTr="00A967F9">
        <w:trPr>
          <w:trHeight w:hRule="exact" w:val="3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45C8" w:rsidTr="00A967F9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 3 ст. 46 Федерального закона № 248-ФЗ и в иных формах.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445C8" w:rsidTr="00A967F9">
        <w:trPr>
          <w:trHeight w:val="22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 1 раз в год не позднее</w:t>
            </w:r>
          </w:p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года,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годом обобщения правоприменительной практики</w:t>
            </w:r>
          </w:p>
          <w:p w:rsidR="006445C8" w:rsidRDefault="006445C8" w:rsidP="00A967F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445C8" w:rsidTr="00A967F9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445C8" w:rsidTr="00A967F9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445C8" w:rsidTr="00A967F9">
        <w:trPr>
          <w:trHeight w:hRule="exact" w:val="33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C8" w:rsidRDefault="006445C8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445C8" w:rsidRDefault="006445C8" w:rsidP="006445C8">
      <w:pPr>
        <w:spacing w:after="319" w:line="1" w:lineRule="exact"/>
      </w:pPr>
    </w:p>
    <w:p w:rsidR="006445C8" w:rsidRDefault="006445C8" w:rsidP="006445C8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6445C8" w:rsidRPr="00B1759C" w:rsidRDefault="006445C8" w:rsidP="006445C8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B1759C">
        <w:rPr>
          <w:b/>
          <w:bCs/>
          <w:sz w:val="24"/>
          <w:szCs w:val="24"/>
        </w:rPr>
        <w:lastRenderedPageBreak/>
        <w:t>Раздел 4. Показатели результативности и эффективности</w:t>
      </w:r>
      <w:r w:rsidRPr="00B1759C">
        <w:rPr>
          <w:b/>
          <w:bCs/>
          <w:sz w:val="24"/>
          <w:szCs w:val="24"/>
        </w:rPr>
        <w:br/>
        <w:t>Программы профилактики</w:t>
      </w:r>
    </w:p>
    <w:p w:rsidR="006445C8" w:rsidRPr="00B1759C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445C8" w:rsidRPr="00B1759C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45C8" w:rsidRPr="00B1759C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:rsidR="006445C8" w:rsidRPr="00B1759C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445C8" w:rsidRPr="00B1759C" w:rsidRDefault="006445C8" w:rsidP="006445C8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Экономический эффект от реализованных мероприятий:</w:t>
      </w:r>
    </w:p>
    <w:p w:rsidR="006445C8" w:rsidRPr="00B1759C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445C8" w:rsidRPr="00B1759C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445C8" w:rsidRPr="00B1759C" w:rsidRDefault="006445C8" w:rsidP="006445C8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B1759C">
        <w:rPr>
          <w:sz w:val="24"/>
          <w:szCs w:val="24"/>
        </w:rPr>
        <w:t>- повышение уровня доверия подконтрольных субъектов к Управлению.</w:t>
      </w:r>
    </w:p>
    <w:p w:rsidR="006445C8" w:rsidRPr="00B1759C" w:rsidRDefault="006445C8" w:rsidP="006445C8">
      <w:pPr>
        <w:ind w:firstLine="567"/>
        <w:jc w:val="both"/>
        <w:rPr>
          <w:color w:val="8064A2" w:themeColor="accent4"/>
        </w:rPr>
      </w:pPr>
    </w:p>
    <w:p w:rsidR="006445C8" w:rsidRPr="00B1759C" w:rsidRDefault="006445C8" w:rsidP="006445C8">
      <w:pPr>
        <w:ind w:firstLine="567"/>
        <w:jc w:val="both"/>
        <w:rPr>
          <w:color w:val="8064A2" w:themeColor="accent4"/>
        </w:rPr>
      </w:pPr>
    </w:p>
    <w:p w:rsidR="006445C8" w:rsidRPr="00B1759C" w:rsidRDefault="006445C8" w:rsidP="006445C8">
      <w:pPr>
        <w:ind w:firstLine="567"/>
        <w:jc w:val="both"/>
        <w:rPr>
          <w:color w:val="8064A2" w:themeColor="accent4"/>
        </w:rPr>
      </w:pP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5C8"/>
    <w:rsid w:val="00021812"/>
    <w:rsid w:val="00041D4E"/>
    <w:rsid w:val="000B741B"/>
    <w:rsid w:val="001230DF"/>
    <w:rsid w:val="006445C8"/>
    <w:rsid w:val="006A4C6E"/>
    <w:rsid w:val="006E44CE"/>
    <w:rsid w:val="00BA1DD8"/>
    <w:rsid w:val="00C67684"/>
    <w:rsid w:val="00E0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C8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45C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Другое_"/>
    <w:basedOn w:val="a0"/>
    <w:link w:val="a4"/>
    <w:rsid w:val="006445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6445C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445C8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4">
    <w:name w:val="Другое"/>
    <w:basedOn w:val="a"/>
    <w:link w:val="a3"/>
    <w:rsid w:val="006445C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2023-12-25T08:07:00Z</cp:lastPrinted>
  <dcterms:created xsi:type="dcterms:W3CDTF">2023-12-19T13:18:00Z</dcterms:created>
  <dcterms:modified xsi:type="dcterms:W3CDTF">2023-12-26T05:25:00Z</dcterms:modified>
</cp:coreProperties>
</file>