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7"/>
        </w:rPr>
      </w:pPr>
      <w:r>
        <w:rPr>
          <w:rStyle w:val="FontStyle17"/>
        </w:rPr>
        <w:t xml:space="preserve">Паспорт </w:t>
      </w:r>
      <w:r w:rsidRPr="00E80A2A">
        <w:rPr>
          <w:rStyle w:val="FontStyle17"/>
        </w:rPr>
        <w:t xml:space="preserve">муниципальной программы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  <w:r w:rsidRPr="00AA13E6">
        <w:rPr>
          <w:rStyle w:val="FontStyle17"/>
          <w:b/>
        </w:rPr>
        <w:t>«</w:t>
      </w:r>
      <w:r w:rsidRPr="00AA13E6">
        <w:rPr>
          <w:rStyle w:val="FontStyle16"/>
          <w:b w:val="0"/>
        </w:rPr>
        <w:t xml:space="preserve">Развитие пожарной безопасности»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6960"/>
      </w:tblGrid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24" w:hanging="24"/>
              <w:rPr>
                <w:rStyle w:val="FontStyle17"/>
              </w:rPr>
            </w:pPr>
            <w:bookmarkStart w:id="0" w:name="_GoBack"/>
            <w:bookmarkEnd w:id="0"/>
            <w:r w:rsidRPr="00E80A2A">
              <w:rPr>
                <w:rStyle w:val="FontStyle17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Развитие пожарной безопасности  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Основание для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68-ФЗ "О защите населения и территорий от чрезвычайных ситуаций природного и техногенного характера";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69-ФЗ "О пожарной безопасности";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22.07.2008 N 123-ФЗ "Технический регламент о требованиях пожарной безопасности"; Закон Кировской области от 02.08.2005 N 348-30 "Об обеспечении пожарной безопасности в Кировской области"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Заказчик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Управление по вопросам жизнеобеспечения Яранского района, 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Целью Программы является создание условий для оказания своевременной помощи при пожарах населению, проживающему на территории (наименование сельского поселения), удаленной от мест дислокации существующих пожарных частей. Основными задачами Программы являются: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обеспечение пожарной безопасности в муниципальных учреждениях;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приобретение первичных средств пожаротушения;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профилактические мероприятия, направленные на обучение населения правилам пожарной безопасности с привлечением общеобразовательных учреждений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Целевые показатели и индикаторы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085"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Недопущение гибели людей на пожарах, уничтожения строений и сооружений и снижение общего количества пожаров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Сроки реализации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602309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Программа реализуется в 202</w:t>
            </w:r>
            <w:r w:rsidR="00602309">
              <w:rPr>
                <w:rStyle w:val="FontStyle17"/>
              </w:rPr>
              <w:t>5</w:t>
            </w:r>
            <w:r w:rsidRPr="00E80A2A">
              <w:rPr>
                <w:rStyle w:val="FontStyle17"/>
              </w:rPr>
              <w:t xml:space="preserve"> - 202</w:t>
            </w:r>
            <w:r w:rsidR="00602309">
              <w:rPr>
                <w:rStyle w:val="FontStyle17"/>
              </w:rPr>
              <w:t>9</w:t>
            </w:r>
            <w:r w:rsidRPr="00E80A2A">
              <w:rPr>
                <w:rStyle w:val="FontStyle17"/>
              </w:rPr>
              <w:t xml:space="preserve"> годы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Перечень основных 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9" w:right="1584" w:hanging="19"/>
              <w:rPr>
                <w:rStyle w:val="FontStyle17"/>
              </w:rPr>
            </w:pPr>
            <w:r w:rsidRPr="00E80A2A">
              <w:rPr>
                <w:rStyle w:val="FontStyle17"/>
              </w:rPr>
              <w:t>Приобретение средств первичного пожаротушения   для добровольных пожарных дружин и населенных пунктов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Объемы     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источники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финансирования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Общий объем финансирования муниципальной программы – 7549,0 тыс. рублей, в том числе: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</w:t>
            </w:r>
            <w:r w:rsidR="00602309">
              <w:rPr>
                <w:rStyle w:val="FontStyle17"/>
              </w:rPr>
              <w:t>5</w:t>
            </w:r>
            <w:r>
              <w:rPr>
                <w:rStyle w:val="FontStyle17"/>
              </w:rPr>
              <w:t xml:space="preserve"> год – </w:t>
            </w:r>
            <w:r w:rsidR="00602309">
              <w:rPr>
                <w:rStyle w:val="FontStyle17"/>
              </w:rPr>
              <w:t>1990,00</w:t>
            </w:r>
            <w:r>
              <w:rPr>
                <w:rStyle w:val="FontStyle17"/>
              </w:rPr>
              <w:t>, тыс. рублей;</w:t>
            </w:r>
          </w:p>
          <w:p w:rsidR="00602309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</w:t>
            </w:r>
            <w:r w:rsidR="00602309">
              <w:rPr>
                <w:rStyle w:val="FontStyle17"/>
              </w:rPr>
              <w:t>6</w:t>
            </w:r>
            <w:r>
              <w:rPr>
                <w:rStyle w:val="FontStyle17"/>
              </w:rPr>
              <w:t xml:space="preserve"> год – </w:t>
            </w:r>
            <w:r w:rsidR="00602309">
              <w:rPr>
                <w:rStyle w:val="FontStyle17"/>
              </w:rPr>
              <w:t>1990,00,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</w:t>
            </w:r>
            <w:r w:rsidR="00602309">
              <w:rPr>
                <w:rStyle w:val="FontStyle17"/>
              </w:rPr>
              <w:t>7</w:t>
            </w:r>
            <w:r>
              <w:rPr>
                <w:rStyle w:val="FontStyle17"/>
              </w:rPr>
              <w:t xml:space="preserve"> год – </w:t>
            </w:r>
            <w:r w:rsidR="00602309">
              <w:rPr>
                <w:rStyle w:val="FontStyle17"/>
              </w:rPr>
              <w:t>1990,00,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</w:t>
            </w:r>
            <w:r w:rsidR="00602309">
              <w:rPr>
                <w:rStyle w:val="FontStyle17"/>
              </w:rPr>
              <w:t>8</w:t>
            </w:r>
            <w:r>
              <w:rPr>
                <w:rStyle w:val="FontStyle17"/>
              </w:rPr>
              <w:t xml:space="preserve"> год – </w:t>
            </w:r>
            <w:r w:rsidR="00602309">
              <w:rPr>
                <w:rStyle w:val="FontStyle17"/>
              </w:rPr>
              <w:t>1990,00,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</w:t>
            </w:r>
            <w:r w:rsidR="00602309">
              <w:rPr>
                <w:rStyle w:val="FontStyle17"/>
              </w:rPr>
              <w:t>9</w:t>
            </w:r>
            <w:r>
              <w:rPr>
                <w:rStyle w:val="FontStyle17"/>
              </w:rPr>
              <w:t xml:space="preserve"> год – </w:t>
            </w:r>
            <w:r w:rsidR="00602309">
              <w:rPr>
                <w:rStyle w:val="FontStyle17"/>
              </w:rPr>
              <w:t>1990,00</w:t>
            </w:r>
            <w:r w:rsidR="00602309">
              <w:rPr>
                <w:rStyle w:val="FontStyle17"/>
              </w:rPr>
              <w:t>, тыс. рублей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Средства областного бюджета –0,00 тыс. рублей;</w:t>
            </w:r>
          </w:p>
          <w:p w:rsidR="00AA13E6" w:rsidRPr="00E80A2A" w:rsidRDefault="00795C6D" w:rsidP="00602309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 xml:space="preserve">Средства местного бюджета – </w:t>
            </w:r>
            <w:r w:rsidR="00602309">
              <w:rPr>
                <w:rStyle w:val="FontStyle17"/>
              </w:rPr>
              <w:t>9950,00</w:t>
            </w:r>
            <w:r>
              <w:rPr>
                <w:rStyle w:val="FontStyle17"/>
              </w:rPr>
              <w:t xml:space="preserve"> тыс. рублей.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Ожидаемые конечные результаты от реализации.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5" w:hanging="5"/>
              <w:rPr>
                <w:rStyle w:val="FontStyle17"/>
              </w:rPr>
            </w:pPr>
            <w:r w:rsidRPr="00E80A2A">
              <w:rPr>
                <w:rStyle w:val="FontStyle17"/>
              </w:rPr>
              <w:t>Сокращение   площади   территорий, не   прикрытых подразделениями пожарной охраны.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Обеспечение подготовки населения к компетентным действиям в области защиты от ЧС и пожарной безопасности. Обеспечение пожарной безопасности в муниципальных учреждениях на территории   Сердежского сельского поселения.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Исполнители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основных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536"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Контроль   за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реализацией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Глава администрации Сердежского сельского поселения,  Сердежская сельская Дума</w:t>
            </w:r>
          </w:p>
        </w:tc>
      </w:tr>
    </w:tbl>
    <w:p w:rsidR="00F57049" w:rsidRDefault="00F57049"/>
    <w:sectPr w:rsidR="00F5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E6"/>
    <w:rsid w:val="00602309"/>
    <w:rsid w:val="00795C6D"/>
    <w:rsid w:val="00AA13E6"/>
    <w:rsid w:val="00F03EC6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4694"/>
  <w15:chartTrackingRefBased/>
  <w15:docId w15:val="{C6503724-6BF8-4477-A0A1-87A1389A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3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A13E6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AA13E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AA13E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AA13E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A13E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A13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AA13E6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A1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2022-11-17T10:45:00Z</cp:lastPrinted>
  <dcterms:created xsi:type="dcterms:W3CDTF">2022-11-17T10:44:00Z</dcterms:created>
  <dcterms:modified xsi:type="dcterms:W3CDTF">2024-11-13T12:36:00Z</dcterms:modified>
</cp:coreProperties>
</file>